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5" w:rsidRDefault="003D6975" w:rsidP="00C65C0B">
      <w:pPr>
        <w:ind w:firstLine="708"/>
        <w:jc w:val="center"/>
        <w:rPr>
          <w:b/>
        </w:rPr>
      </w:pPr>
    </w:p>
    <w:p w:rsidR="00C65C0B" w:rsidRDefault="00C65C0B" w:rsidP="00C65C0B">
      <w:pPr>
        <w:ind w:firstLine="708"/>
        <w:jc w:val="center"/>
        <w:rPr>
          <w:b/>
        </w:rPr>
      </w:pPr>
      <w:r w:rsidRPr="00741F23">
        <w:rPr>
          <w:b/>
        </w:rPr>
        <w:t>ПОЯСНИТЕЛЬНАЯ ЗАПИСКА</w:t>
      </w:r>
    </w:p>
    <w:p w:rsidR="00C65C0B" w:rsidRDefault="00C65C0B" w:rsidP="00C65C0B">
      <w:pPr>
        <w:ind w:firstLine="708"/>
        <w:jc w:val="center"/>
        <w:rPr>
          <w:b/>
        </w:rPr>
      </w:pPr>
    </w:p>
    <w:p w:rsidR="00C65C0B" w:rsidRPr="00741F23" w:rsidRDefault="00C65C0B" w:rsidP="00C65C0B">
      <w:pPr>
        <w:ind w:firstLine="708"/>
        <w:jc w:val="center"/>
      </w:pPr>
      <w:r>
        <w:rPr>
          <w:b/>
        </w:rPr>
        <w:t>к проекту бюджета Хасанск</w:t>
      </w:r>
      <w:r w:rsidR="003D6975">
        <w:rPr>
          <w:b/>
        </w:rPr>
        <w:t>ого городского поселения на 201</w:t>
      </w:r>
      <w:r w:rsidR="00E82AC8">
        <w:rPr>
          <w:b/>
        </w:rPr>
        <w:t>9</w:t>
      </w:r>
      <w:r>
        <w:rPr>
          <w:b/>
        </w:rPr>
        <w:t xml:space="preserve"> год и плановый период 20</w:t>
      </w:r>
      <w:r w:rsidR="00E82AC8">
        <w:rPr>
          <w:b/>
        </w:rPr>
        <w:t>20</w:t>
      </w:r>
      <w:r>
        <w:rPr>
          <w:b/>
        </w:rPr>
        <w:t xml:space="preserve"> и 20</w:t>
      </w:r>
      <w:r w:rsidR="002B0AA3">
        <w:rPr>
          <w:b/>
        </w:rPr>
        <w:t>2</w:t>
      </w:r>
      <w:r w:rsidR="00E82AC8">
        <w:rPr>
          <w:b/>
        </w:rPr>
        <w:t>1</w:t>
      </w:r>
      <w:r>
        <w:rPr>
          <w:b/>
        </w:rPr>
        <w:t xml:space="preserve"> годов</w:t>
      </w:r>
    </w:p>
    <w:p w:rsidR="00C65C0B" w:rsidRDefault="00C65C0B" w:rsidP="00C65C0B">
      <w:pPr>
        <w:ind w:firstLine="708"/>
        <w:jc w:val="both"/>
      </w:pPr>
    </w:p>
    <w:p w:rsidR="00C65C0B" w:rsidRDefault="00C65C0B" w:rsidP="00C65C0B">
      <w:pPr>
        <w:ind w:firstLine="708"/>
        <w:jc w:val="both"/>
      </w:pP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Проект решения «О бюджете Хасанского городского</w:t>
      </w:r>
      <w:r w:rsidRPr="007214E7">
        <w:rPr>
          <w:b/>
        </w:rPr>
        <w:t xml:space="preserve"> </w:t>
      </w:r>
      <w:r w:rsidRPr="007214E7">
        <w:t>поселения на 201</w:t>
      </w:r>
      <w:r w:rsidR="00E82AC8">
        <w:t>9</w:t>
      </w:r>
      <w:r w:rsidRPr="007214E7">
        <w:t xml:space="preserve"> год и плановый период 20</w:t>
      </w:r>
      <w:r w:rsidR="00E82AC8">
        <w:t>20</w:t>
      </w:r>
      <w:r w:rsidRPr="007214E7">
        <w:t xml:space="preserve"> и 20</w:t>
      </w:r>
      <w:r w:rsidR="002B0AA3" w:rsidRPr="007214E7">
        <w:t>2</w:t>
      </w:r>
      <w:r w:rsidR="00E82AC8">
        <w:t>1</w:t>
      </w:r>
      <w:r w:rsidRPr="007214E7">
        <w:t xml:space="preserve"> годов» (далее</w:t>
      </w:r>
      <w:r w:rsidR="003D6975" w:rsidRPr="007214E7">
        <w:t xml:space="preserve"> </w:t>
      </w:r>
      <w:r w:rsidRPr="007214E7">
        <w:t>- проект решения) подготовлен с соблюдением требований Бюджетного кодекса Российской Федерации и нормативным правовым актом «О бюджетном устройстве и бюджетном процессе в Хасанском городском поселении» утвержденным решением Муниципального комитета Хасанского городского</w:t>
      </w:r>
      <w:r w:rsidRPr="007214E7">
        <w:rPr>
          <w:b/>
        </w:rPr>
        <w:t xml:space="preserve"> </w:t>
      </w:r>
      <w:r w:rsidRPr="007214E7">
        <w:t>поселения №63 от 24.07.2013 г.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Проект решения отвечает основным положениям Бюджетного послания Президента Российской Федерации о бюджетной политике в 201</w:t>
      </w:r>
      <w:r w:rsidR="00E82AC8">
        <w:t>9</w:t>
      </w:r>
      <w:r w:rsidRPr="007214E7">
        <w:t>-20</w:t>
      </w:r>
      <w:r w:rsidR="002B0AA3" w:rsidRPr="007214E7">
        <w:t>2</w:t>
      </w:r>
      <w:r w:rsidR="00E82AC8">
        <w:t>1</w:t>
      </w:r>
      <w:r w:rsidRPr="007214E7">
        <w:t xml:space="preserve"> годах (далее – Бюджетное послание).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В 201</w:t>
      </w:r>
      <w:r w:rsidR="00E82AC8">
        <w:t>9</w:t>
      </w:r>
      <w:r w:rsidRPr="007214E7">
        <w:t xml:space="preserve"> – 20</w:t>
      </w:r>
      <w:r w:rsidR="002B0AA3" w:rsidRPr="007214E7">
        <w:t>2</w:t>
      </w:r>
      <w:r w:rsidR="00E82AC8">
        <w:t>1</w:t>
      </w:r>
      <w:r w:rsidRPr="007214E7">
        <w:t xml:space="preserve"> годах будет продолжена реализация потенциала повышения эффективности бюджетных расходов, решение задач социально-экономического развития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Основными целями бюджетной политики на 201</w:t>
      </w:r>
      <w:r w:rsidR="00E82AC8">
        <w:t>9</w:t>
      </w:r>
      <w:r w:rsidRPr="007214E7">
        <w:t xml:space="preserve"> год и среднесрочную перспективу являются: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обеспечение условий для исполнения решения о бюджете на 201</w:t>
      </w:r>
      <w:r w:rsidR="00E82AC8">
        <w:t>9</w:t>
      </w:r>
      <w:r w:rsidRPr="007214E7">
        <w:t xml:space="preserve"> – 20</w:t>
      </w:r>
      <w:r w:rsidR="002B0AA3" w:rsidRPr="007214E7">
        <w:t>2</w:t>
      </w:r>
      <w:r w:rsidR="00E82AC8">
        <w:t>1</w:t>
      </w:r>
      <w:r w:rsidRPr="007214E7">
        <w:t xml:space="preserve"> годы;</w:t>
      </w:r>
    </w:p>
    <w:p w:rsidR="00C65C0B" w:rsidRPr="007214E7" w:rsidRDefault="00C65C0B" w:rsidP="00C65C0B">
      <w:pPr>
        <w:spacing w:line="360" w:lineRule="auto"/>
        <w:jc w:val="both"/>
      </w:pPr>
      <w:r w:rsidRPr="007214E7">
        <w:t xml:space="preserve">            создание условий для оказания качественных муниципальных услуг;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обеспечение прозрачности и открытости бюджетного процесса;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совершенствование системы управления муниципальными активами и обязательствами Хасанского городского</w:t>
      </w:r>
      <w:r w:rsidRPr="007214E7">
        <w:rPr>
          <w:b/>
        </w:rPr>
        <w:t xml:space="preserve"> </w:t>
      </w:r>
      <w:r w:rsidRPr="007214E7">
        <w:t>поселения.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При определении бюджетных ассигнований на 201</w:t>
      </w:r>
      <w:r w:rsidR="00E82AC8">
        <w:t>9</w:t>
      </w:r>
      <w:r w:rsidRPr="007214E7">
        <w:t xml:space="preserve"> год учитывалась необходимость финансового обеспечения действующих расходных обязательства, а также основные направления бюджетной политики на 201</w:t>
      </w:r>
      <w:r w:rsidR="00E82AC8">
        <w:t>9</w:t>
      </w:r>
      <w:r w:rsidRPr="007214E7">
        <w:t xml:space="preserve"> год и плановый период 20</w:t>
      </w:r>
      <w:r w:rsidR="00E82AC8">
        <w:t>20</w:t>
      </w:r>
      <w:r w:rsidRPr="007214E7">
        <w:t xml:space="preserve"> и 20</w:t>
      </w:r>
      <w:r w:rsidR="002B0AA3" w:rsidRPr="007214E7">
        <w:t>2</w:t>
      </w:r>
      <w:r w:rsidR="00E82AC8">
        <w:t>1</w:t>
      </w:r>
      <w:r w:rsidRPr="007214E7">
        <w:t xml:space="preserve"> годов и поручения Президента Российской Федерации, Губернатора Приморского края.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Основные параметры бюджета поселения на 201</w:t>
      </w:r>
      <w:r w:rsidR="00E82AC8">
        <w:t>9</w:t>
      </w:r>
      <w:r w:rsidRPr="007214E7">
        <w:t xml:space="preserve"> год составили: 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 xml:space="preserve">по доходам – </w:t>
      </w:r>
      <w:r w:rsidR="00E82AC8">
        <w:t xml:space="preserve">7 711 050,00 </w:t>
      </w:r>
      <w:r w:rsidRPr="007214E7">
        <w:t xml:space="preserve">рублей, в том числе </w:t>
      </w:r>
    </w:p>
    <w:p w:rsidR="00C65C0B" w:rsidRPr="007214E7" w:rsidRDefault="00C65C0B" w:rsidP="00C65C0B">
      <w:pPr>
        <w:numPr>
          <w:ilvl w:val="0"/>
          <w:numId w:val="1"/>
        </w:numPr>
        <w:spacing w:line="360" w:lineRule="auto"/>
        <w:jc w:val="both"/>
      </w:pPr>
      <w:r w:rsidRPr="007214E7">
        <w:t xml:space="preserve">за счет налоговых и неналоговых поступлений </w:t>
      </w:r>
      <w:r w:rsidR="00E82AC8">
        <w:t>3 813 000,</w:t>
      </w:r>
      <w:r w:rsidR="00614DCE" w:rsidRPr="007214E7">
        <w:t>00</w:t>
      </w:r>
      <w:r w:rsidRPr="007214E7">
        <w:t xml:space="preserve"> рублей;</w:t>
      </w:r>
    </w:p>
    <w:p w:rsidR="00C65C0B" w:rsidRPr="007214E7" w:rsidRDefault="00C65C0B" w:rsidP="00C65C0B">
      <w:pPr>
        <w:numPr>
          <w:ilvl w:val="0"/>
          <w:numId w:val="1"/>
        </w:numPr>
        <w:suppressAutoHyphens/>
        <w:spacing w:line="360" w:lineRule="auto"/>
        <w:jc w:val="both"/>
        <w:rPr>
          <w:rFonts w:eastAsia="Batang"/>
        </w:rPr>
      </w:pPr>
      <w:r w:rsidRPr="007214E7">
        <w:rPr>
          <w:rFonts w:eastAsia="Batang"/>
        </w:rPr>
        <w:t xml:space="preserve">дотаций из районного бюджета в сумме </w:t>
      </w:r>
      <w:r w:rsidR="002B0AA3" w:rsidRPr="007214E7">
        <w:rPr>
          <w:rFonts w:eastAsia="Batang"/>
        </w:rPr>
        <w:t>3 781 000,00</w:t>
      </w:r>
      <w:r w:rsidRPr="007214E7">
        <w:rPr>
          <w:rFonts w:eastAsia="Batang"/>
        </w:rPr>
        <w:t xml:space="preserve"> руб., </w:t>
      </w:r>
    </w:p>
    <w:p w:rsidR="00C65C0B" w:rsidRPr="007214E7" w:rsidRDefault="00C65C0B" w:rsidP="00C65C0B">
      <w:pPr>
        <w:numPr>
          <w:ilvl w:val="0"/>
          <w:numId w:val="1"/>
        </w:numPr>
        <w:suppressAutoHyphens/>
        <w:spacing w:line="360" w:lineRule="auto"/>
        <w:jc w:val="both"/>
        <w:rPr>
          <w:rFonts w:eastAsia="Batang"/>
        </w:rPr>
      </w:pPr>
      <w:r w:rsidRPr="007214E7">
        <w:rPr>
          <w:rFonts w:eastAsia="Batang"/>
        </w:rPr>
        <w:t xml:space="preserve">субвенций из районного бюджета в сумме </w:t>
      </w:r>
      <w:r w:rsidR="00E82AC8">
        <w:rPr>
          <w:rFonts w:eastAsia="Batang"/>
        </w:rPr>
        <w:t>117 050,</w:t>
      </w:r>
      <w:r w:rsidR="002B0AA3" w:rsidRPr="007214E7">
        <w:rPr>
          <w:rFonts w:eastAsia="Batang"/>
        </w:rPr>
        <w:t>00</w:t>
      </w:r>
      <w:r w:rsidR="00614DCE" w:rsidRPr="007214E7">
        <w:rPr>
          <w:rFonts w:eastAsia="Batang"/>
        </w:rPr>
        <w:t xml:space="preserve"> </w:t>
      </w:r>
      <w:r w:rsidRPr="007214E7">
        <w:rPr>
          <w:rFonts w:eastAsia="Batang"/>
        </w:rPr>
        <w:t xml:space="preserve">руб., 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 xml:space="preserve">по расходам – </w:t>
      </w:r>
      <w:r w:rsidR="00E82AC8">
        <w:t>7 711 050,00</w:t>
      </w:r>
      <w:r w:rsidRPr="007214E7">
        <w:t xml:space="preserve"> рублей;</w:t>
      </w:r>
    </w:p>
    <w:p w:rsidR="00C65C0B" w:rsidRPr="007214E7" w:rsidRDefault="00C65C0B" w:rsidP="00C65C0B">
      <w:pPr>
        <w:spacing w:line="360" w:lineRule="auto"/>
        <w:ind w:firstLine="720"/>
        <w:jc w:val="both"/>
      </w:pPr>
      <w:r w:rsidRPr="007214E7">
        <w:lastRenderedPageBreak/>
        <w:t>Прогнозируемый объем налоговых и неналоговых доходов на 20</w:t>
      </w:r>
      <w:r w:rsidR="00E82AC8">
        <w:t>20</w:t>
      </w:r>
      <w:r w:rsidR="004F3D40" w:rsidRPr="007214E7">
        <w:t xml:space="preserve"> </w:t>
      </w:r>
      <w:r w:rsidRPr="007214E7">
        <w:t xml:space="preserve">год составил </w:t>
      </w:r>
      <w:r w:rsidR="00E82AC8">
        <w:t>6 296 050,00</w:t>
      </w:r>
      <w:r w:rsidR="002B0AA3" w:rsidRPr="007214E7">
        <w:t xml:space="preserve"> </w:t>
      </w:r>
      <w:r w:rsidRPr="007214E7">
        <w:t>руб., на 20</w:t>
      </w:r>
      <w:r w:rsidR="002B0AA3" w:rsidRPr="007214E7">
        <w:t>2</w:t>
      </w:r>
      <w:r w:rsidR="00E82AC8">
        <w:t>1</w:t>
      </w:r>
      <w:r w:rsidRPr="007214E7">
        <w:t xml:space="preserve"> год </w:t>
      </w:r>
      <w:r w:rsidR="00E82AC8">
        <w:t>6 381 050,00</w:t>
      </w:r>
      <w:r w:rsidR="002B0AA3" w:rsidRPr="007214E7">
        <w:t xml:space="preserve"> </w:t>
      </w:r>
      <w:r w:rsidRPr="007214E7">
        <w:t xml:space="preserve">руб. 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Доходы бюджета Хасанского городского поселения, поступающие в 201</w:t>
      </w:r>
      <w:r w:rsidR="00E82AC8">
        <w:t>9</w:t>
      </w:r>
      <w:r w:rsidRPr="007214E7">
        <w:t xml:space="preserve"> году, формируются за счет: </w:t>
      </w:r>
    </w:p>
    <w:p w:rsidR="00E82AC8" w:rsidRDefault="00E82AC8" w:rsidP="00E82AC8">
      <w:pPr>
        <w:pStyle w:val="a4"/>
        <w:tabs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доходов от уплаты федеральных налогов, местных налогов и сборов, налогов, предусмотренных специальными налоговыми режимами в соответствии с нормативами отчислений, установленными бюджетным законодательством Российской Федерации и законодательством о налогах и сборах и законодательными актами Приморского края; 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 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доходов от использования имущества, находящегося в собственности городских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доходов от продажи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и основных средств по указанному имуществу - по нормативу 100 процентов; 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передачи в аренду земельных участков, государственная собственность              на которые не разграничена и которые расположены в границах городского поселения, а также средства от продажи права на заключение договоров аренды указанных земельных участков, –  по нормативу 50 процентов;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продажи земельных участков государственная собственность на которые не разграничена и которые расположены в границах городских поселений, - по нормативу 50 процентов.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платных услуг, оказываемых муниципальными казенными учреждениями, по нормативу 100 процентов;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прочих доходов от компенсации затрат бюджетам городских поселений, - по нормативу 100 процентов.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прочих неналоговых доходов, подлежащих зачислению в бюджет городского поселения в соответствии с законодательством Российской Федерации – по нормативу 100 процентов.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невыясненных поступлений, зачисляемых в бюджет городского поселения, - по нормативу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в виде безвозмездных поступлений, зачисляемых в бюджет городского поселения по нормативу –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платежей, взимаемых органами местного самоуправления (организациями) городских поселений за выполнение определенных функций по нормативу –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размещения временно свободных средств бюджетов городских поселений по нормативу –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оказания платных услуг (работ) получателями средств бюджетов городских поселений по нормативу –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доходов, поступающих в порядке возмещения расходов, понесенных в связи с эксплуатацией имущества городских поселений по нормативу –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</w:r>
      <w:r>
        <w:rPr>
          <w:sz w:val="24"/>
          <w:szCs w:val="24"/>
        </w:rPr>
        <w:lastRenderedPageBreak/>
        <w:t>выступают получатели средств бюджетов городских поселений по нормативу –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 по нормативу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доходов от поступления сумм в возмещение вреда, причиненного автомобильным дорогам местного значения транспортными средствами, осуществляющими перевозки </w:t>
      </w:r>
      <w:proofErr w:type="spellStart"/>
      <w:r>
        <w:rPr>
          <w:sz w:val="24"/>
          <w:szCs w:val="24"/>
        </w:rPr>
        <w:t>тяжеловестных</w:t>
      </w:r>
      <w:proofErr w:type="spellEnd"/>
      <w:r>
        <w:rPr>
          <w:sz w:val="24"/>
          <w:szCs w:val="24"/>
        </w:rPr>
        <w:t xml:space="preserve"> и (или) крупногабаритных грузов, зачисляемые в бюджеты городских поселений по нормативу – 100 процентов</w:t>
      </w:r>
    </w:p>
    <w:p w:rsidR="00E82AC8" w:rsidRDefault="00E82AC8" w:rsidP="00E82AC8">
      <w:pPr>
        <w:pStyle w:val="a4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доходов от возмещения потерь сельскохозяйственного производства, связанных с изъятием сельскохозяйственных угодий, расположенных на территории городских поселений (по обязательствам, возникшим до 1 января 2008 года) по нормативу – 100 процентов</w:t>
      </w:r>
    </w:p>
    <w:p w:rsidR="00614DCE" w:rsidRPr="007214E7" w:rsidRDefault="00E82AC8" w:rsidP="00E82AC8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доходов от средств самообложения граждан, зачисляемые в бюджеты городских поселений по нормативу – 100 процентов</w:t>
      </w:r>
      <w:r w:rsidR="00614DCE" w:rsidRPr="007214E7">
        <w:rPr>
          <w:color w:val="000000"/>
          <w:sz w:val="24"/>
          <w:szCs w:val="24"/>
        </w:rPr>
        <w:t>.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4"/>
        </w:rPr>
      </w:pPr>
      <w:r w:rsidRPr="007214E7">
        <w:rPr>
          <w:color w:val="000000"/>
          <w:spacing w:val="-4"/>
        </w:rPr>
        <w:t>Общий объем расходов бюджета на 201</w:t>
      </w:r>
      <w:r w:rsidR="00E82AC8">
        <w:rPr>
          <w:color w:val="000000"/>
          <w:spacing w:val="-4"/>
        </w:rPr>
        <w:t>9</w:t>
      </w:r>
      <w:r w:rsidRPr="007214E7">
        <w:rPr>
          <w:color w:val="000000"/>
          <w:spacing w:val="-4"/>
        </w:rPr>
        <w:t xml:space="preserve"> год составляет </w:t>
      </w:r>
      <w:r w:rsidR="00E82AC8">
        <w:rPr>
          <w:color w:val="000000"/>
          <w:spacing w:val="-4"/>
        </w:rPr>
        <w:t>7 711 050,00</w:t>
      </w:r>
      <w:r w:rsidR="002B0AA3" w:rsidRPr="007214E7">
        <w:rPr>
          <w:color w:val="000000"/>
          <w:spacing w:val="-4"/>
        </w:rPr>
        <w:t xml:space="preserve"> руб</w:t>
      </w:r>
      <w:r w:rsidR="007214E7" w:rsidRPr="007214E7">
        <w:rPr>
          <w:color w:val="000000"/>
          <w:spacing w:val="-4"/>
        </w:rPr>
        <w:t>.</w:t>
      </w:r>
      <w:r w:rsidRPr="007214E7">
        <w:rPr>
          <w:color w:val="000000"/>
          <w:spacing w:val="-4"/>
        </w:rPr>
        <w:t>,</w:t>
      </w:r>
      <w:r w:rsidR="002B0AA3" w:rsidRPr="007214E7">
        <w:rPr>
          <w:color w:val="000000"/>
          <w:spacing w:val="-4"/>
        </w:rPr>
        <w:t xml:space="preserve"> </w:t>
      </w:r>
      <w:r w:rsidRPr="007214E7">
        <w:rPr>
          <w:color w:val="000000"/>
          <w:spacing w:val="-4"/>
        </w:rPr>
        <w:t>в том числе: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>содержание ОМСУ</w:t>
      </w:r>
      <w:r w:rsid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 xml:space="preserve">в сумме </w:t>
      </w:r>
      <w:r w:rsidR="00E82AC8">
        <w:rPr>
          <w:color w:val="000000"/>
          <w:spacing w:val="-1"/>
        </w:rPr>
        <w:t>1 908 377,00</w:t>
      </w:r>
      <w:r w:rsidRPr="007214E7">
        <w:rPr>
          <w:color w:val="000000"/>
          <w:spacing w:val="-1"/>
        </w:rPr>
        <w:t xml:space="preserve"> руб. или </w:t>
      </w:r>
      <w:r w:rsidR="00E82AC8">
        <w:rPr>
          <w:color w:val="000000"/>
          <w:spacing w:val="-1"/>
        </w:rPr>
        <w:t>24,75</w:t>
      </w:r>
      <w:r w:rsidR="004F3D40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 расходов;</w:t>
      </w:r>
    </w:p>
    <w:p w:rsidR="00C65C0B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 xml:space="preserve">содержание подведомственных учреждений в сумме </w:t>
      </w:r>
      <w:r w:rsidR="00E82AC8">
        <w:rPr>
          <w:color w:val="000000"/>
          <w:spacing w:val="-1"/>
        </w:rPr>
        <w:t>2 826 000,00</w:t>
      </w:r>
      <w:r w:rsidRPr="007214E7">
        <w:rPr>
          <w:color w:val="000000"/>
          <w:spacing w:val="-1"/>
        </w:rPr>
        <w:t xml:space="preserve"> руб</w:t>
      </w:r>
      <w:r w:rsidR="00EA1462" w:rsidRPr="007214E7">
        <w:rPr>
          <w:color w:val="000000"/>
          <w:spacing w:val="-1"/>
        </w:rPr>
        <w:t>.</w:t>
      </w:r>
      <w:r w:rsidRPr="007214E7">
        <w:rPr>
          <w:color w:val="000000"/>
          <w:spacing w:val="-1"/>
        </w:rPr>
        <w:t xml:space="preserve"> или </w:t>
      </w:r>
      <w:r w:rsidR="00E82AC8">
        <w:rPr>
          <w:color w:val="000000"/>
          <w:spacing w:val="-1"/>
        </w:rPr>
        <w:t>36,65</w:t>
      </w:r>
      <w:r w:rsidR="004F3D40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 расходов;</w:t>
      </w:r>
    </w:p>
    <w:p w:rsidR="00A83297" w:rsidRPr="007214E7" w:rsidRDefault="00A83297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резервные фонды в сумме 150 000,00 руб. или 1,95 % </w:t>
      </w:r>
      <w:r w:rsidRPr="007214E7">
        <w:rPr>
          <w:color w:val="000000"/>
          <w:spacing w:val="-1"/>
        </w:rPr>
        <w:t>общего объема расходов</w:t>
      </w:r>
      <w:r>
        <w:rPr>
          <w:color w:val="000000"/>
          <w:spacing w:val="-1"/>
        </w:rPr>
        <w:t>;</w:t>
      </w:r>
    </w:p>
    <w:p w:rsidR="00C65C0B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 xml:space="preserve">национальная оборона в сумме </w:t>
      </w:r>
      <w:r w:rsidR="00E82AC8">
        <w:rPr>
          <w:color w:val="000000"/>
          <w:spacing w:val="-1"/>
        </w:rPr>
        <w:t>117 050,</w:t>
      </w:r>
      <w:r w:rsidR="002B0AA3" w:rsidRPr="007214E7">
        <w:rPr>
          <w:color w:val="000000"/>
          <w:spacing w:val="-1"/>
        </w:rPr>
        <w:t>00</w:t>
      </w:r>
      <w:r w:rsidRPr="007214E7">
        <w:rPr>
          <w:color w:val="000000"/>
          <w:spacing w:val="-1"/>
        </w:rPr>
        <w:t xml:space="preserve"> руб. или </w:t>
      </w:r>
      <w:r w:rsidR="002B0AA3" w:rsidRPr="007214E7">
        <w:rPr>
          <w:color w:val="000000"/>
          <w:spacing w:val="-1"/>
        </w:rPr>
        <w:t>1,</w:t>
      </w:r>
      <w:r w:rsidR="00E82AC8">
        <w:rPr>
          <w:color w:val="000000"/>
          <w:spacing w:val="-1"/>
        </w:rPr>
        <w:t>52</w:t>
      </w:r>
      <w:r w:rsidR="00B259EC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объема;</w:t>
      </w:r>
    </w:p>
    <w:p w:rsidR="00E82AC8" w:rsidRPr="007214E7" w:rsidRDefault="00E82AC8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национальная безопасность и правоохранительная деятельность в сумме 101 000,00 руб. или </w:t>
      </w:r>
      <w:r w:rsidR="00A83297">
        <w:rPr>
          <w:color w:val="000000"/>
          <w:spacing w:val="-1"/>
        </w:rPr>
        <w:t xml:space="preserve">1,31 % </w:t>
      </w:r>
      <w:r w:rsidR="00A83297" w:rsidRPr="007214E7">
        <w:rPr>
          <w:color w:val="000000"/>
          <w:spacing w:val="-1"/>
        </w:rPr>
        <w:t>общего объема расходов</w:t>
      </w:r>
      <w:r w:rsidR="00A83297">
        <w:rPr>
          <w:color w:val="000000"/>
          <w:spacing w:val="-1"/>
        </w:rPr>
        <w:t>;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>национальн</w:t>
      </w:r>
      <w:r w:rsidR="00A83297">
        <w:rPr>
          <w:color w:val="000000"/>
          <w:spacing w:val="-1"/>
        </w:rPr>
        <w:t>ая</w:t>
      </w:r>
      <w:r w:rsidRPr="007214E7">
        <w:rPr>
          <w:color w:val="000000"/>
          <w:spacing w:val="-1"/>
        </w:rPr>
        <w:t xml:space="preserve"> экономик</w:t>
      </w:r>
      <w:r w:rsidR="00A83297">
        <w:rPr>
          <w:color w:val="000000"/>
          <w:spacing w:val="-1"/>
        </w:rPr>
        <w:t>а</w:t>
      </w:r>
      <w:r w:rsidRPr="007214E7">
        <w:rPr>
          <w:color w:val="000000"/>
          <w:spacing w:val="-1"/>
        </w:rPr>
        <w:t xml:space="preserve"> в сумме </w:t>
      </w:r>
      <w:r w:rsidR="00A83297">
        <w:rPr>
          <w:color w:val="000000"/>
          <w:spacing w:val="-1"/>
        </w:rPr>
        <w:t>1 874 000,</w:t>
      </w:r>
      <w:r w:rsidR="002B0AA3" w:rsidRPr="007214E7">
        <w:rPr>
          <w:color w:val="000000"/>
          <w:spacing w:val="-1"/>
        </w:rPr>
        <w:t>00</w:t>
      </w:r>
      <w:r w:rsidRPr="007214E7">
        <w:rPr>
          <w:color w:val="000000"/>
          <w:spacing w:val="-1"/>
        </w:rPr>
        <w:t xml:space="preserve"> рублей или </w:t>
      </w:r>
      <w:r w:rsidR="00A83297">
        <w:rPr>
          <w:color w:val="000000"/>
          <w:spacing w:val="-1"/>
        </w:rPr>
        <w:t>24,30</w:t>
      </w:r>
      <w:r w:rsidR="00B259EC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 расходов;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 xml:space="preserve">жилищно-коммунальное хозяйство </w:t>
      </w:r>
      <w:r w:rsidR="00A83297">
        <w:rPr>
          <w:color w:val="000000"/>
          <w:spacing w:val="-1"/>
        </w:rPr>
        <w:t>705 000,00</w:t>
      </w:r>
      <w:r w:rsidRPr="007214E7">
        <w:rPr>
          <w:color w:val="000000"/>
          <w:spacing w:val="-1"/>
        </w:rPr>
        <w:t xml:space="preserve"> руб. или </w:t>
      </w:r>
      <w:r w:rsidR="00A83297">
        <w:rPr>
          <w:color w:val="000000"/>
          <w:spacing w:val="-1"/>
        </w:rPr>
        <w:t>9,14</w:t>
      </w:r>
      <w:r w:rsidR="00B259EC" w:rsidRPr="007214E7">
        <w:rPr>
          <w:color w:val="000000"/>
          <w:spacing w:val="-1"/>
        </w:rPr>
        <w:t xml:space="preserve"> </w:t>
      </w:r>
      <w:r w:rsidR="007214E7" w:rsidRPr="007214E7">
        <w:rPr>
          <w:color w:val="000000"/>
          <w:spacing w:val="-1"/>
        </w:rPr>
        <w:t>% общего объема.</w:t>
      </w:r>
    </w:p>
    <w:p w:rsidR="007214E7" w:rsidRPr="007214E7" w:rsidRDefault="007214E7" w:rsidP="00C65C0B">
      <w:pPr>
        <w:spacing w:line="360" w:lineRule="auto"/>
        <w:ind w:firstLine="708"/>
        <w:jc w:val="both"/>
        <w:rPr>
          <w:color w:val="000000"/>
          <w:spacing w:val="-1"/>
        </w:rPr>
      </w:pPr>
      <w:bookmarkStart w:id="0" w:name="_GoBack"/>
      <w:bookmarkEnd w:id="0"/>
    </w:p>
    <w:p w:rsidR="0074392F" w:rsidRPr="007214E7" w:rsidRDefault="00A83297" w:rsidP="00A83297">
      <w:pPr>
        <w:tabs>
          <w:tab w:val="left" w:pos="7938"/>
        </w:tabs>
      </w:pPr>
      <w:r>
        <w:t>Главный</w:t>
      </w:r>
      <w:r w:rsidR="00B259EC" w:rsidRPr="007214E7">
        <w:t xml:space="preserve"> специалист</w:t>
      </w:r>
      <w:r w:rsidR="007214E7" w:rsidRPr="007214E7">
        <w:t xml:space="preserve"> 2 разряда</w:t>
      </w:r>
      <w:r>
        <w:tab/>
      </w:r>
      <w:proofErr w:type="spellStart"/>
      <w:r w:rsidR="00B259EC" w:rsidRPr="007214E7">
        <w:t>А</w:t>
      </w:r>
      <w:r w:rsidR="00C65C0B" w:rsidRPr="007214E7">
        <w:t>.О.</w:t>
      </w:r>
      <w:r w:rsidR="00B259EC" w:rsidRPr="007214E7">
        <w:t>Лескова</w:t>
      </w:r>
      <w:proofErr w:type="spellEnd"/>
      <w:r w:rsidR="00C65C0B" w:rsidRPr="007214E7">
        <w:t xml:space="preserve"> </w:t>
      </w:r>
    </w:p>
    <w:sectPr w:rsidR="0074392F" w:rsidRPr="007214E7" w:rsidSect="001E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9A5"/>
    <w:multiLevelType w:val="hybridMultilevel"/>
    <w:tmpl w:val="9856ABE2"/>
    <w:lvl w:ilvl="0" w:tplc="C25CDE18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2B16A3"/>
    <w:multiLevelType w:val="hybridMultilevel"/>
    <w:tmpl w:val="4194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F3BE6"/>
    <w:rsid w:val="0001777A"/>
    <w:rsid w:val="00023A4B"/>
    <w:rsid w:val="00023FA7"/>
    <w:rsid w:val="00046227"/>
    <w:rsid w:val="00071DE2"/>
    <w:rsid w:val="00084D24"/>
    <w:rsid w:val="00096AE8"/>
    <w:rsid w:val="000C753C"/>
    <w:rsid w:val="001835F2"/>
    <w:rsid w:val="001E1343"/>
    <w:rsid w:val="001E1ACD"/>
    <w:rsid w:val="001E3C8B"/>
    <w:rsid w:val="001F68CD"/>
    <w:rsid w:val="00201A07"/>
    <w:rsid w:val="00212069"/>
    <w:rsid w:val="00214FC3"/>
    <w:rsid w:val="00253788"/>
    <w:rsid w:val="00290534"/>
    <w:rsid w:val="002B0AA3"/>
    <w:rsid w:val="002C26C0"/>
    <w:rsid w:val="002E78FB"/>
    <w:rsid w:val="003D288F"/>
    <w:rsid w:val="003D6975"/>
    <w:rsid w:val="00410941"/>
    <w:rsid w:val="00453F6F"/>
    <w:rsid w:val="004F3D40"/>
    <w:rsid w:val="004F7BD0"/>
    <w:rsid w:val="00506E65"/>
    <w:rsid w:val="00511C61"/>
    <w:rsid w:val="00513387"/>
    <w:rsid w:val="00516AEA"/>
    <w:rsid w:val="00541A3D"/>
    <w:rsid w:val="005848AF"/>
    <w:rsid w:val="00591085"/>
    <w:rsid w:val="005B7D8B"/>
    <w:rsid w:val="00614497"/>
    <w:rsid w:val="00614DCE"/>
    <w:rsid w:val="00620CAA"/>
    <w:rsid w:val="00673119"/>
    <w:rsid w:val="00673DD5"/>
    <w:rsid w:val="006A1D5B"/>
    <w:rsid w:val="006B7C66"/>
    <w:rsid w:val="006C655D"/>
    <w:rsid w:val="00704907"/>
    <w:rsid w:val="007214E7"/>
    <w:rsid w:val="0073440B"/>
    <w:rsid w:val="00741F23"/>
    <w:rsid w:val="0074392F"/>
    <w:rsid w:val="007472C1"/>
    <w:rsid w:val="007B0A60"/>
    <w:rsid w:val="007E3005"/>
    <w:rsid w:val="00850A61"/>
    <w:rsid w:val="0085290D"/>
    <w:rsid w:val="00865823"/>
    <w:rsid w:val="008B2C51"/>
    <w:rsid w:val="00931E54"/>
    <w:rsid w:val="00961281"/>
    <w:rsid w:val="009775DF"/>
    <w:rsid w:val="009B4547"/>
    <w:rsid w:val="009E0720"/>
    <w:rsid w:val="009E5AC6"/>
    <w:rsid w:val="00A049A4"/>
    <w:rsid w:val="00A333A2"/>
    <w:rsid w:val="00A83297"/>
    <w:rsid w:val="00AB58F8"/>
    <w:rsid w:val="00AF0FA4"/>
    <w:rsid w:val="00AF4616"/>
    <w:rsid w:val="00B259EC"/>
    <w:rsid w:val="00B31FAC"/>
    <w:rsid w:val="00B37833"/>
    <w:rsid w:val="00B82830"/>
    <w:rsid w:val="00BC3E50"/>
    <w:rsid w:val="00BC6814"/>
    <w:rsid w:val="00BD3FCF"/>
    <w:rsid w:val="00BF7072"/>
    <w:rsid w:val="00C539FC"/>
    <w:rsid w:val="00C65C0B"/>
    <w:rsid w:val="00C737BF"/>
    <w:rsid w:val="00CD5C26"/>
    <w:rsid w:val="00D420EE"/>
    <w:rsid w:val="00D4307E"/>
    <w:rsid w:val="00D6668B"/>
    <w:rsid w:val="00D81B3C"/>
    <w:rsid w:val="00D86CAC"/>
    <w:rsid w:val="00DA22C8"/>
    <w:rsid w:val="00DB3FF4"/>
    <w:rsid w:val="00DC65CC"/>
    <w:rsid w:val="00E37C93"/>
    <w:rsid w:val="00E44020"/>
    <w:rsid w:val="00E453F2"/>
    <w:rsid w:val="00E61F28"/>
    <w:rsid w:val="00E82AC8"/>
    <w:rsid w:val="00E85863"/>
    <w:rsid w:val="00E87F01"/>
    <w:rsid w:val="00EA1462"/>
    <w:rsid w:val="00ED5FE7"/>
    <w:rsid w:val="00EF3BE6"/>
    <w:rsid w:val="00F05F37"/>
    <w:rsid w:val="00F67C02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970FA"/>
  <w15:docId w15:val="{A9D2316C-2CED-4AC8-AA18-C7BFC279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3BE6"/>
    <w:pPr>
      <w:spacing w:after="120"/>
      <w:ind w:left="283"/>
    </w:pPr>
  </w:style>
  <w:style w:type="paragraph" w:customStyle="1" w:styleId="a4">
    <w:name w:val="Стиль в законе"/>
    <w:basedOn w:val="a"/>
    <w:rsid w:val="00EF3BE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5">
    <w:name w:val="Table Grid"/>
    <w:basedOn w:val="a1"/>
    <w:rsid w:val="00EF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6668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65C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">
    <w:name w:val="Основной шрифт абзаца1"/>
    <w:rsid w:val="00E8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Планируемая сумма налоговых и неналоговых доходов бюджета Хасанского муниципального района на 2011 год составляет 246560 тыс</vt:lpstr>
    </vt:vector>
  </TitlesOfParts>
  <Company>Alien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Планируемая сумма налоговых и неналоговых доходов бюджета Хасанского муниципального района на 2011 год составляет 246560 тыс</dc:title>
  <dc:subject/>
  <dc:creator>lena_andr</dc:creator>
  <cp:keywords/>
  <dc:description/>
  <cp:lastModifiedBy>Алёна</cp:lastModifiedBy>
  <cp:revision>7</cp:revision>
  <cp:lastPrinted>2017-11-17T02:44:00Z</cp:lastPrinted>
  <dcterms:created xsi:type="dcterms:W3CDTF">2015-11-06T07:53:00Z</dcterms:created>
  <dcterms:modified xsi:type="dcterms:W3CDTF">2018-11-08T06:33:00Z</dcterms:modified>
</cp:coreProperties>
</file>